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4AA" w:rsidRDefault="00FB770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 </w:t>
      </w:r>
    </w:p>
    <w:p w:rsidR="001D04AA" w:rsidRDefault="00FB770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внесен Губернатором </w:t>
      </w:r>
    </w:p>
    <w:p w:rsidR="001D04AA" w:rsidRDefault="00FB770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Рязанской области</w:t>
      </w:r>
    </w:p>
    <w:p w:rsidR="001D04AA" w:rsidRDefault="001D04AA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FB77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ЗАКОН </w:t>
      </w:r>
    </w:p>
    <w:p w:rsidR="001D04AA" w:rsidRDefault="00FB770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РЯЗАНСКОЙ ОБЛАСТИ</w:t>
      </w:r>
    </w:p>
    <w:p w:rsidR="001D04AA" w:rsidRDefault="001D04A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FB770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О внесении изменений в Закон Рязанской области</w:t>
      </w:r>
    </w:p>
    <w:p w:rsidR="001D04AA" w:rsidRDefault="00FB770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«О наделении органов местного самоуправления отдельными государственными полномочиями Рязанской области по организации регулярных перевозок пассажиров и багажа автомобильным транспортом»</w:t>
      </w:r>
    </w:p>
    <w:p w:rsidR="001D04AA" w:rsidRDefault="001D04A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FB770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Статья 1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Внести в Закон Рязанской области от 10 декабря 2012 года №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94-ОЗ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 xml:space="preserve">«О наделении органов местного самоуправления отдельными государственными полномочиями Рязанской области по организации регулярных перевозок пассажиров и багажа автомобильным транспортом»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 xml:space="preserve">(в редакции Законов Рязанской области от 12.04.2013 № 12-ОЗ,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от 08.04.2014  № 16-ОЗ, от 21.07.2016 № 41-ОЗ, от 28.12.2018 № 100-ОЗ, от 04.04.2023           № 38-ОЗ, от 10.11.2023 № 111-ОЗ, от 16.07.2024 № 50-ОЗ, от 25.12.2024           № 116-ОЗ) следующие изменения: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1) статью 1 изложить в следующей редакции: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«Настоя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щий Закон регулирует отношения, возникающие в связи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br/>
        <w:t>с наделением органов местного самоуправления муниципального образования – Рязанский муниципальный округ Рязанской области (далее – муниципальное образование Рязанской области) отдельными государственными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полномочиями Рязанской области по организации регулярных перевозок пассажиров и багажа автомобильным транспортом по межмуниципальным маршрутам регулярных перевозок, соединяющим населенные пункты, расположенные в границах муниципального образования Рязанск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ой области, с его административным центром, находящимся на территории городского округа город Рязань (далее - государственные полномочия, регулярные перевозки).»;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2) статью 2 признать утратившей силу;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в статье 3: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а) в наименовании слова «муниципальных р</w:t>
      </w:r>
      <w:r>
        <w:rPr>
          <w:rFonts w:ascii="Times New Roman" w:hAnsi="Times New Roman" w:cs="Times New Roman"/>
          <w:sz w:val="28"/>
          <w:szCs w:val="28"/>
          <w:highlight w:val="white"/>
        </w:rPr>
        <w:t>айонов» заменить словами «муниципального образования»;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б) в части 1 слова «муниципальных районов» заменить словами «муниципального образования»; 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4) в части 1 статьи 5: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а) в пункте 1 слово «субвенций» заменить словом «субвенции», слова «предоставляемых бюд</w:t>
      </w:r>
      <w:r>
        <w:rPr>
          <w:rFonts w:ascii="Times New Roman" w:hAnsi="Times New Roman" w:cs="Times New Roman"/>
          <w:sz w:val="28"/>
          <w:szCs w:val="28"/>
          <w:highlight w:val="white"/>
        </w:rPr>
        <w:t>жетам муниципальных районов» заменить словами «предоставляемой бюджету муниципального образования»;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б) в пункте 2 слова «субвенций, предоставляемых» заменить словами «субвенции, предоставляемой»;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5) в статье 7: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а) в части 1 слово «субвенций» заменить слово</w:t>
      </w:r>
      <w:r>
        <w:rPr>
          <w:rFonts w:ascii="Times New Roman" w:hAnsi="Times New Roman" w:cs="Times New Roman"/>
          <w:sz w:val="28"/>
          <w:szCs w:val="28"/>
          <w:highlight w:val="white"/>
        </w:rPr>
        <w:t>м «субвенции», слова «предоставляемых бюджетам муниципальных районов» заменить словами «предоставляемой бюджету муниципального образования»;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б) части 2 и 3 изложить в следующей редакции: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>
        <w:rPr>
          <w:rFonts w:ascii="Times New Roman" w:hAnsi="Times New Roman" w:cs="Times New Roman"/>
          <w:sz w:val="28"/>
          <w:szCs w:val="28"/>
          <w:highlight w:val="white"/>
        </w:rPr>
        <w:t>2. Распределение субвенции бюджету муниципального образования Рязанской области для осуществления государственных полномочий утверждается законом Рязанской области об областном бюджете на очередной финансовый год и плановый период.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 Порядок расчета норма</w:t>
      </w:r>
      <w:r>
        <w:rPr>
          <w:rFonts w:ascii="Times New Roman" w:hAnsi="Times New Roman" w:cs="Times New Roman"/>
          <w:sz w:val="28"/>
          <w:szCs w:val="28"/>
          <w:highlight w:val="white"/>
        </w:rPr>
        <w:t>тивов для определения общего объема субвенции, предоставляемой бюджету муниципального образования Рязанской области для осуществления государственных полномочий, устанавливается согласно приложению к настоящему Закону.»;</w:t>
      </w:r>
    </w:p>
    <w:p w:rsidR="001D04AA" w:rsidRDefault="00FB7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6) статью 8 изложить в следующей ре</w:t>
      </w:r>
      <w:r>
        <w:rPr>
          <w:rFonts w:ascii="Times New Roman" w:hAnsi="Times New Roman" w:cs="Times New Roman"/>
          <w:sz w:val="28"/>
          <w:szCs w:val="28"/>
          <w:highlight w:val="white"/>
        </w:rPr>
        <w:t>дакции:</w:t>
      </w:r>
    </w:p>
    <w:p w:rsidR="001D04AA" w:rsidRDefault="00FB770E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«Статья 8. </w:t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Имущество, необходимое для осуществления отдельных государственных полномочий</w:t>
      </w:r>
    </w:p>
    <w:p w:rsidR="001D04AA" w:rsidRDefault="00FB770E">
      <w:pPr>
        <w:tabs>
          <w:tab w:val="left" w:pos="709"/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Перечень подлежащего передаче в пользование и (или) управление имущества, необходимого для осуществления органами местного само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управления отдельных государственных полномочий, в случае необходимости его предоставления определяется исполнительным органом Рязанской области, уполномоченным в сфере транспорта, на основании предложений органов местного самоуправления и согласовывается </w:t>
      </w:r>
      <w:r>
        <w:rPr>
          <w:rFonts w:ascii="Times New Roman" w:hAnsi="Times New Roman" w:cs="Times New Roman"/>
          <w:sz w:val="28"/>
          <w:szCs w:val="28"/>
          <w:highlight w:val="white"/>
        </w:rPr>
        <w:br/>
        <w:t>с исполнительным органом Рязанской области, уполномоченным по управлению и распоряжению государственной собственностью Рязанской области.»;</w:t>
      </w:r>
    </w:p>
    <w:p w:rsidR="001D04AA" w:rsidRDefault="00FB770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7) в статье 10:</w:t>
      </w:r>
    </w:p>
    <w:p w:rsidR="001D04AA" w:rsidRDefault="00FB770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а) в части 1 статьи 10 слова «предоставленных на эти цели материальных ресурсов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 финансовых средств» заменить словами «предоставленного на эти цели имущества»;</w:t>
      </w:r>
    </w:p>
    <w:p w:rsidR="001D04AA" w:rsidRDefault="00FB7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б) в части 3 слова «, а также выявлении нарушений использования предоставленных на осуществление государственных полномочий материальных ресурсов и финансовых средс</w:t>
      </w:r>
      <w:r>
        <w:rPr>
          <w:rFonts w:ascii="Times New Roman" w:hAnsi="Times New Roman" w:cs="Times New Roman"/>
          <w:sz w:val="28"/>
          <w:szCs w:val="28"/>
          <w:highlight w:val="white"/>
        </w:rPr>
        <w:t>тв» исключить;</w:t>
      </w:r>
    </w:p>
    <w:p w:rsidR="001D04AA" w:rsidRDefault="00FB770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8) приложение изложить в следующей редакции: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«Приложение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 Закону Рязанской области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«О наделении органов местного самоуправления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отдельными государственными полномочиями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Рязанской области по организации регулярных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перевозок пассажиров и багажа автомобильным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транспортом»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highlight w:val="white"/>
        </w:rPr>
        <w:t> </w:t>
      </w:r>
    </w:p>
    <w:p w:rsidR="001D04AA" w:rsidRDefault="001D04A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highlight w:val="white"/>
        </w:rPr>
      </w:pPr>
    </w:p>
    <w:p w:rsidR="001D04AA" w:rsidRDefault="001D04A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highlight w:val="white"/>
        </w:rPr>
        <w:lastRenderedPageBreak/>
        <w:t>ПОРЯДОК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highlight w:val="white"/>
        </w:rPr>
        <w:t xml:space="preserve">РАСЧЕТА НОРМАТИВОВ ДЛЯ ОПРЕДЕЛЕНИЯ ОБЩЕГО ОБЪЕМА СУБВЕНЦИИ, ПРЕДОСТАВЛЯЕМОЙ БЮДЖЕТУ МУНИЦИПАЛЬНОГО ОБРАЗОВАНИЯ РЯЗАНСКОЙ ОБЛАСТИ ДЛЯ ОСУЩЕСТВЛЕНИЯ ГОСУДАРСТВЕННЫХ ПОЛНОМОЧИЙ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highlight w:val="white"/>
        </w:rPr>
        <w:t> 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1. Нормативы для определения общего объема субвенции, предоставляемой бюджету муниципального образования Рязанской области для осуществления органами местного самоуправления государственных полномочий с учетом затрат на организацию осуществления переданных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государственных полномочий, рассчитываются в следующем порядке.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Норматив на оплату труда (Зот) определяется по формуле: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Зот = Фот x Рст,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       где: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Фот - фонд оплаты труда, определяемый исходя из размера должностного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оклада специалиста 2 категории старшей группы должностей государственной гражданской службы Рязанской области с учетом выплат, предусмотренных Законом Рязанской области от 1 июня 2005 года № 46-ОЗ «О государственной гражданской службе Рязанской области»;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Рст - количество должностных ставок, определяемых в зависимости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>от количества маршрутов регулярных перевозок, включенных в реестр маршрутов регулярных перевозок муниципального образования, организованных на территории муниципального образования, принимае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мых равными: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0,5 ставки специалиста - до 10 маршрутов включительно;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1 ставка специалиста - с 11 до 30 маршрутов;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 ставки специалиста - свыше 30 маршрутов.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Норматив отчислений (Нот) по страховым взносам, установленным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 соответствии с главой 34 Налогового кодекса Российской Федерации, а также по страховым взносам по обязательному социальному страхованию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>от несчастных случаев на производстве и профессиональных заболеваний (далее - норматив отчислений по страховым взноса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м) определяется в размере, установленном законодательством Российской Федерации.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Норматив материальных затрат (Мз) составляет 5 процентов от норматива на оплату труда и норматива отчислений по страховым взносам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и рассчитывается по формуле: </w:t>
      </w:r>
    </w:p>
    <w:p w:rsidR="001D04AA" w:rsidRDefault="001D04A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Мз = (Зот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Нот) x 5 / 100.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   Норматив на исполнение функций заказчика работ, связанных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с осуществлением регулярных перевозок по регулируемым тарифам (Нмз), определяется по формуле: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noProof/>
          <w:highlight w:val="white"/>
        </w:rPr>
        <mc:AlternateContent>
          <mc:Choice Requires="wpg">
            <w:drawing>
              <wp:anchor distT="0" distB="0" distL="115200" distR="115200" simplePos="0" relativeHeight="251657216" behindDoc="0" locked="0" layoutInCell="1" allowOverlap="1">
                <wp:simplePos x="0" y="0"/>
                <wp:positionH relativeFrom="column">
                  <wp:posOffset>2858788</wp:posOffset>
                </wp:positionH>
                <wp:positionV relativeFrom="paragraph">
                  <wp:posOffset>94391</wp:posOffset>
                </wp:positionV>
                <wp:extent cx="238125" cy="269874"/>
                <wp:effectExtent l="12700" t="12700" r="1270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38124" cy="2698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04AA" w:rsidRDefault="00FB77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</w:rPr>
                              <w:t>n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0" o:spid="_x0000_s0" o:spt="1" type="#_x0000_t1" style="position:absolute;z-index:251657216;o:allowoverlap:true;o:allowincell:true;mso-position-horizontal-relative:text;margin-left:225.10pt;mso-position-horizontal:absolute;mso-position-vertical-relative:text;margin-top:7.43pt;mso-position-vertical:absolute;width:18.75pt;height:21.25pt;mso-wrap-distance-left:9.07pt;mso-wrap-distance-top:0.00pt;mso-wrap-distance-right:9.07pt;mso-wrap-distance-bottom:0.00pt;v-text-anchor:middle;visibility:visible;" fillcolor="#FFFFFF" strokecolor="#FFFFFF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 w:themeColor="text1"/>
                        </w:rPr>
                        <w:t xml:space="preserve">n</w:t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  <w:r>
                        <w:rPr>
                          <w:rFonts w:ascii="Times New Roman" w:hAnsi="Times New Roman" w:cs="Times New Roman"/>
                        </w:rPr>
                      </w:r>
                    </w:p>
                  </w:txbxContent>
                </v:textbox>
              </v:shape>
            </w:pict>
          </mc:Fallback>
        </mc:AlternateContent>
      </w:r>
    </w:p>
    <w:p w:rsidR="001D04AA" w:rsidRDefault="00FB770E">
      <w:pPr>
        <w:spacing w:line="240" w:lineRule="auto"/>
        <w:jc w:val="center"/>
        <w:rPr>
          <w:highlight w:val="white"/>
        </w:rPr>
      </w:pPr>
      <w:r>
        <w:rPr>
          <w:noProof/>
          <w:highlight w:val="white"/>
        </w:rPr>
        <mc:AlternateContent>
          <mc:Choice Requires="wpg">
            <w:drawing>
              <wp:anchor distT="0" distB="0" distL="115200" distR="115200" simplePos="0" relativeHeight="251658240" behindDoc="0" locked="0" layoutInCell="1" allowOverlap="1">
                <wp:simplePos x="0" y="0"/>
                <wp:positionH relativeFrom="column">
                  <wp:posOffset>2720975</wp:posOffset>
                </wp:positionH>
                <wp:positionV relativeFrom="paragraph">
                  <wp:posOffset>331036</wp:posOffset>
                </wp:positionV>
                <wp:extent cx="515938" cy="293207"/>
                <wp:effectExtent l="12700" t="12700" r="1270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15937" cy="2932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04AA" w:rsidRDefault="00FB77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highlight w:val="whit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highlight w:val="white"/>
                                <w:shd w:val="clear" w:color="FFFFFF" w:themeColor="background1" w:fill="FFFFFF" w:themeFill="background1"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highlight w:val="white"/>
                              </w:rPr>
                              <w:t>=1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</wp:anchor>
            </w:drawing>
          </mc:Choice>
          <mc:Fallback xmlns:a="http://schemas.openxmlformats.org/drawingml/2006/main" xmlns:w15="http://schemas.microsoft.com/office/word/2012/wordml">
            <w:pict>
              <v:shape id="shape 1" o:spid="_x0000_s1" o:spt="1" type="#_x0000_t1" style="position:absolute;z-index:251658240;o:allowoverlap:true;o:allowincell:true;mso-position-horizontal-relative:text;margin-left:214.25pt;mso-position-horizontal:absolute;mso-position-vertical-relative:text;margin-top:26.07pt;mso-position-vertical:absolute;width:40.63pt;height:23.09pt;mso-wrap-distance-left:9.07pt;mso-wrap-distance-top:0.00pt;mso-wrap-distance-right:9.07pt;mso-wrap-distance-bottom:0.00pt;v-text-anchor:middle;visibility:visible;" fillcolor="#FFFFFF" strokecolor="#FFFFFF" strokeweight="2.00pt">
                <v:stroke dashstyle="solid"/>
                <v:textbox inset="0,0,0,0">
                  <w:txbxContent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highlight w:val="white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color w:val="000000" w:themeColor="text1"/>
                          <w:highlight w:val="white"/>
                          <w:shd w:val="clear" w:color="ffffff" w:themeColor="background1" w:fill="ffffff" w:themeFill="background1"/>
                          <w:lang w:val="en-US"/>
                        </w:rPr>
                        <w:t xml:space="preserve">i</w:t>
                      </w:r>
                      <w:r>
                        <w:rPr>
                          <w:rFonts w:ascii="Times New Roman" w:hAnsi="Times New Roman" w:eastAsia="Times New Roman" w:cs="Times New Roman"/>
                          <w:color w:val="000000" w:themeColor="text1"/>
                          <w:highlight w:val="white"/>
                        </w:rPr>
                        <w:t xml:space="preserve">=1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highlight w:val="white"/>
                        </w:rPr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highlight w:val="white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Нмз = </w:t>
      </w:r>
      <w:r>
        <w:rPr>
          <w:rFonts w:ascii="Times New Roman" w:eastAsia="Times New Roman" w:hAnsi="Times New Roman" w:cs="Times New Roman"/>
          <w:color w:val="000000"/>
          <w:sz w:val="48"/>
          <w:szCs w:val="48"/>
          <w:highlight w:val="white"/>
        </w:rPr>
        <w:t>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НМЦК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vertAlign w:val="subscript"/>
          <w:lang w:val="en-US"/>
        </w:rPr>
        <w:t>I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где: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НМЦК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vertAlign w:val="subscript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- начальная (максимальная) цена контракта, цена контракта, заключаемого с единственным подрядчиком, при осуществлении закупок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в сфере регулярных перевозок по регулируемым тарифам по j-му маршруту, включенному в реестр маршрутов регулярных перевозок.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НМЦ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vertAlign w:val="subscript"/>
          <w:lang w:val="en-US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определяется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Федерального закона от 13 июля 2015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220-ФЗ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 xml:space="preserve"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n - количество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маршрутов регулярных перевозок по регулируемым тарифам, включенных в реестр маршрутов регулярных перевозок муниципального образования.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2. Общий объем субвенции, предоставляемой бюджету муниципального образования Рязанской области из областного бюджета на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сполнение государственных полномочий, осуществляется по формуле: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 = Зот + Нот + Мз + Нмз,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        где: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       С - объем субвенции бюджету муниципального образования Рязанской области.  </w:t>
      </w:r>
    </w:p>
    <w:p w:rsidR="001D04AA" w:rsidRDefault="00FB770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3. В случае,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если рассчитанный в соответствии с частью 1 настоящего Порядка норматив на исполнение функций заказчика работ, связанных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br/>
        <w:t>с осуществлением регулярных перевозок по регулируемым тарифам (Нмз), превышает сумму цен заключенных контрактов на осуществление регу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лярных перевозок по регулируемым тарифам, значение указанного норматива принимается равным сумме цен данных контрактов.».</w:t>
      </w:r>
    </w:p>
    <w:p w:rsidR="001D04AA" w:rsidRDefault="001D04A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sz w:val="28"/>
          <w:szCs w:val="28"/>
          <w:highlight w:val="white"/>
        </w:rPr>
      </w:pPr>
    </w:p>
    <w:p w:rsidR="001D04AA" w:rsidRDefault="00FB770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hAnsi="Times New Roman" w:cs="Times New Roman"/>
          <w:b/>
          <w:sz w:val="28"/>
          <w:szCs w:val="28"/>
          <w:highlight w:val="white"/>
        </w:rPr>
        <w:t>Статья 2</w:t>
      </w:r>
    </w:p>
    <w:p w:rsidR="001D04AA" w:rsidRDefault="00FB77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    Настоящий Закон вступает в силу с 1 января 2026 года.</w:t>
      </w:r>
    </w:p>
    <w:p w:rsidR="001D04AA" w:rsidRDefault="001D04AA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1D04AA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1D04AA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</w:p>
    <w:p w:rsidR="001D04AA" w:rsidRDefault="00FB770E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Губернатор Рязанской области</w:t>
      </w:r>
    </w:p>
    <w:sectPr w:rsidR="001D04AA">
      <w:headerReference w:type="default" r:id="rId9"/>
      <w:pgSz w:w="11906" w:h="16838"/>
      <w:pgMar w:top="1276" w:right="851" w:bottom="1276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70E" w:rsidRDefault="00FB770E">
      <w:pPr>
        <w:spacing w:after="0" w:line="240" w:lineRule="auto"/>
      </w:pPr>
      <w:r>
        <w:separator/>
      </w:r>
    </w:p>
  </w:endnote>
  <w:endnote w:type="continuationSeparator" w:id="0">
    <w:p w:rsidR="00FB770E" w:rsidRDefault="00FB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70E" w:rsidRDefault="00FB770E">
      <w:pPr>
        <w:spacing w:after="0" w:line="240" w:lineRule="auto"/>
      </w:pPr>
      <w:r>
        <w:separator/>
      </w:r>
    </w:p>
  </w:footnote>
  <w:footnote w:type="continuationSeparator" w:id="0">
    <w:p w:rsidR="00FB770E" w:rsidRDefault="00FB7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4AA" w:rsidRDefault="00FB770E">
    <w:pPr>
      <w:pStyle w:val="af9"/>
      <w:jc w:val="center"/>
    </w:pPr>
    <w:r>
      <w:fldChar w:fldCharType="begin"/>
    </w:r>
    <w:r>
      <w:instrText>PAGE \* MERGEFORMAT</w:instrText>
    </w:r>
    <w:r>
      <w:fldChar w:fldCharType="separate"/>
    </w:r>
    <w:r w:rsidR="00AD1BA9">
      <w:rPr>
        <w:noProof/>
      </w:rPr>
      <w:t>2</w:t>
    </w:r>
    <w:r>
      <w:fldChar w:fldCharType="end"/>
    </w:r>
  </w:p>
  <w:p w:rsidR="001D04AA" w:rsidRDefault="001D04AA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116E5"/>
    <w:multiLevelType w:val="hybridMultilevel"/>
    <w:tmpl w:val="1EF883BE"/>
    <w:lvl w:ilvl="0" w:tplc="867CAA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B9A1F0E">
      <w:start w:val="1"/>
      <w:numFmt w:val="lowerLetter"/>
      <w:lvlText w:val="%2."/>
      <w:lvlJc w:val="left"/>
      <w:pPr>
        <w:ind w:left="1789" w:hanging="360"/>
      </w:pPr>
    </w:lvl>
    <w:lvl w:ilvl="2" w:tplc="A8E84244">
      <w:start w:val="1"/>
      <w:numFmt w:val="lowerRoman"/>
      <w:lvlText w:val="%3."/>
      <w:lvlJc w:val="right"/>
      <w:pPr>
        <w:ind w:left="2509" w:hanging="180"/>
      </w:pPr>
    </w:lvl>
    <w:lvl w:ilvl="3" w:tplc="85BAD568">
      <w:start w:val="1"/>
      <w:numFmt w:val="decimal"/>
      <w:lvlText w:val="%4."/>
      <w:lvlJc w:val="left"/>
      <w:pPr>
        <w:ind w:left="3229" w:hanging="360"/>
      </w:pPr>
    </w:lvl>
    <w:lvl w:ilvl="4" w:tplc="91FCEFF8">
      <w:start w:val="1"/>
      <w:numFmt w:val="lowerLetter"/>
      <w:lvlText w:val="%5."/>
      <w:lvlJc w:val="left"/>
      <w:pPr>
        <w:ind w:left="3949" w:hanging="360"/>
      </w:pPr>
    </w:lvl>
    <w:lvl w:ilvl="5" w:tplc="C1BAAAC2">
      <w:start w:val="1"/>
      <w:numFmt w:val="lowerRoman"/>
      <w:lvlText w:val="%6."/>
      <w:lvlJc w:val="right"/>
      <w:pPr>
        <w:ind w:left="4669" w:hanging="180"/>
      </w:pPr>
    </w:lvl>
    <w:lvl w:ilvl="6" w:tplc="85905A7E">
      <w:start w:val="1"/>
      <w:numFmt w:val="decimal"/>
      <w:lvlText w:val="%7."/>
      <w:lvlJc w:val="left"/>
      <w:pPr>
        <w:ind w:left="5389" w:hanging="360"/>
      </w:pPr>
    </w:lvl>
    <w:lvl w:ilvl="7" w:tplc="EC7012F2">
      <w:start w:val="1"/>
      <w:numFmt w:val="lowerLetter"/>
      <w:lvlText w:val="%8."/>
      <w:lvlJc w:val="left"/>
      <w:pPr>
        <w:ind w:left="6109" w:hanging="360"/>
      </w:pPr>
    </w:lvl>
    <w:lvl w:ilvl="8" w:tplc="26A6072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0C610D"/>
    <w:multiLevelType w:val="hybridMultilevel"/>
    <w:tmpl w:val="E8964FF0"/>
    <w:lvl w:ilvl="0" w:tplc="0A023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2DAF740">
      <w:start w:val="1"/>
      <w:numFmt w:val="lowerLetter"/>
      <w:lvlText w:val="%2."/>
      <w:lvlJc w:val="left"/>
      <w:pPr>
        <w:ind w:left="1789" w:hanging="360"/>
      </w:pPr>
    </w:lvl>
    <w:lvl w:ilvl="2" w:tplc="DDC08CFC">
      <w:start w:val="1"/>
      <w:numFmt w:val="lowerRoman"/>
      <w:lvlText w:val="%3."/>
      <w:lvlJc w:val="right"/>
      <w:pPr>
        <w:ind w:left="2509" w:hanging="180"/>
      </w:pPr>
    </w:lvl>
    <w:lvl w:ilvl="3" w:tplc="066A6566">
      <w:start w:val="1"/>
      <w:numFmt w:val="decimal"/>
      <w:lvlText w:val="%4."/>
      <w:lvlJc w:val="left"/>
      <w:pPr>
        <w:ind w:left="3229" w:hanging="360"/>
      </w:pPr>
    </w:lvl>
    <w:lvl w:ilvl="4" w:tplc="6A42FE84">
      <w:start w:val="1"/>
      <w:numFmt w:val="lowerLetter"/>
      <w:lvlText w:val="%5."/>
      <w:lvlJc w:val="left"/>
      <w:pPr>
        <w:ind w:left="3949" w:hanging="360"/>
      </w:pPr>
    </w:lvl>
    <w:lvl w:ilvl="5" w:tplc="B7FA71E2">
      <w:start w:val="1"/>
      <w:numFmt w:val="lowerRoman"/>
      <w:lvlText w:val="%6."/>
      <w:lvlJc w:val="right"/>
      <w:pPr>
        <w:ind w:left="4669" w:hanging="180"/>
      </w:pPr>
    </w:lvl>
    <w:lvl w:ilvl="6" w:tplc="5B347484">
      <w:start w:val="1"/>
      <w:numFmt w:val="decimal"/>
      <w:lvlText w:val="%7."/>
      <w:lvlJc w:val="left"/>
      <w:pPr>
        <w:ind w:left="5389" w:hanging="360"/>
      </w:pPr>
    </w:lvl>
    <w:lvl w:ilvl="7" w:tplc="7D22FEF6">
      <w:start w:val="1"/>
      <w:numFmt w:val="lowerLetter"/>
      <w:lvlText w:val="%8."/>
      <w:lvlJc w:val="left"/>
      <w:pPr>
        <w:ind w:left="6109" w:hanging="360"/>
      </w:pPr>
    </w:lvl>
    <w:lvl w:ilvl="8" w:tplc="DDDCCB5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FE2746"/>
    <w:multiLevelType w:val="hybridMultilevel"/>
    <w:tmpl w:val="E90AC55A"/>
    <w:lvl w:ilvl="0" w:tplc="82A449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BC7774">
      <w:start w:val="1"/>
      <w:numFmt w:val="lowerLetter"/>
      <w:lvlText w:val="%2."/>
      <w:lvlJc w:val="left"/>
      <w:pPr>
        <w:ind w:left="1785" w:hanging="360"/>
      </w:pPr>
    </w:lvl>
    <w:lvl w:ilvl="2" w:tplc="0EEA8110">
      <w:start w:val="1"/>
      <w:numFmt w:val="lowerRoman"/>
      <w:lvlText w:val="%3."/>
      <w:lvlJc w:val="right"/>
      <w:pPr>
        <w:ind w:left="2505" w:hanging="180"/>
      </w:pPr>
    </w:lvl>
    <w:lvl w:ilvl="3" w:tplc="AAEA5C28">
      <w:start w:val="1"/>
      <w:numFmt w:val="decimal"/>
      <w:lvlText w:val="%4."/>
      <w:lvlJc w:val="left"/>
      <w:pPr>
        <w:ind w:left="3225" w:hanging="360"/>
      </w:pPr>
    </w:lvl>
    <w:lvl w:ilvl="4" w:tplc="F6E68F60">
      <w:start w:val="1"/>
      <w:numFmt w:val="lowerLetter"/>
      <w:lvlText w:val="%5."/>
      <w:lvlJc w:val="left"/>
      <w:pPr>
        <w:ind w:left="3945" w:hanging="360"/>
      </w:pPr>
    </w:lvl>
    <w:lvl w:ilvl="5" w:tplc="C26657C0">
      <w:start w:val="1"/>
      <w:numFmt w:val="lowerRoman"/>
      <w:lvlText w:val="%6."/>
      <w:lvlJc w:val="right"/>
      <w:pPr>
        <w:ind w:left="4665" w:hanging="180"/>
      </w:pPr>
    </w:lvl>
    <w:lvl w:ilvl="6" w:tplc="F304A1A8">
      <w:start w:val="1"/>
      <w:numFmt w:val="decimal"/>
      <w:lvlText w:val="%7."/>
      <w:lvlJc w:val="left"/>
      <w:pPr>
        <w:ind w:left="5385" w:hanging="360"/>
      </w:pPr>
    </w:lvl>
    <w:lvl w:ilvl="7" w:tplc="134CA652">
      <w:start w:val="1"/>
      <w:numFmt w:val="lowerLetter"/>
      <w:lvlText w:val="%8."/>
      <w:lvlJc w:val="left"/>
      <w:pPr>
        <w:ind w:left="6105" w:hanging="360"/>
      </w:pPr>
    </w:lvl>
    <w:lvl w:ilvl="8" w:tplc="05642D76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2185AE7"/>
    <w:multiLevelType w:val="hybridMultilevel"/>
    <w:tmpl w:val="0E0EB3BE"/>
    <w:lvl w:ilvl="0" w:tplc="047A1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544B2A">
      <w:start w:val="1"/>
      <w:numFmt w:val="lowerLetter"/>
      <w:lvlText w:val="%2."/>
      <w:lvlJc w:val="left"/>
      <w:pPr>
        <w:ind w:left="1789" w:hanging="360"/>
      </w:pPr>
    </w:lvl>
    <w:lvl w:ilvl="2" w:tplc="1144D9AC">
      <w:start w:val="1"/>
      <w:numFmt w:val="lowerRoman"/>
      <w:lvlText w:val="%3."/>
      <w:lvlJc w:val="right"/>
      <w:pPr>
        <w:ind w:left="2509" w:hanging="180"/>
      </w:pPr>
    </w:lvl>
    <w:lvl w:ilvl="3" w:tplc="156057A6">
      <w:start w:val="1"/>
      <w:numFmt w:val="decimal"/>
      <w:lvlText w:val="%4."/>
      <w:lvlJc w:val="left"/>
      <w:pPr>
        <w:ind w:left="3229" w:hanging="360"/>
      </w:pPr>
    </w:lvl>
    <w:lvl w:ilvl="4" w:tplc="D68E8454">
      <w:start w:val="1"/>
      <w:numFmt w:val="lowerLetter"/>
      <w:lvlText w:val="%5."/>
      <w:lvlJc w:val="left"/>
      <w:pPr>
        <w:ind w:left="3949" w:hanging="360"/>
      </w:pPr>
    </w:lvl>
    <w:lvl w:ilvl="5" w:tplc="0D0615B6">
      <w:start w:val="1"/>
      <w:numFmt w:val="lowerRoman"/>
      <w:lvlText w:val="%6."/>
      <w:lvlJc w:val="right"/>
      <w:pPr>
        <w:ind w:left="4669" w:hanging="180"/>
      </w:pPr>
    </w:lvl>
    <w:lvl w:ilvl="6" w:tplc="51546272">
      <w:start w:val="1"/>
      <w:numFmt w:val="decimal"/>
      <w:lvlText w:val="%7."/>
      <w:lvlJc w:val="left"/>
      <w:pPr>
        <w:ind w:left="5389" w:hanging="360"/>
      </w:pPr>
    </w:lvl>
    <w:lvl w:ilvl="7" w:tplc="23524D98">
      <w:start w:val="1"/>
      <w:numFmt w:val="lowerLetter"/>
      <w:lvlText w:val="%8."/>
      <w:lvlJc w:val="left"/>
      <w:pPr>
        <w:ind w:left="6109" w:hanging="360"/>
      </w:pPr>
    </w:lvl>
    <w:lvl w:ilvl="8" w:tplc="4346585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4AA"/>
    <w:rsid w:val="001D04AA"/>
    <w:rsid w:val="00AD1BA9"/>
    <w:rsid w:val="00FB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b">
    <w:name w:val="Placeholder Text"/>
    <w:basedOn w:val="a0"/>
    <w:uiPriority w:val="99"/>
    <w:semiHidden/>
    <w:rPr>
      <w:color w:val="80808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b/>
      <w:sz w:val="24"/>
      <w:szCs w:val="20"/>
      <w:lang w:val="en-US" w:eastAsia="zh-CN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6E64-BA1E-47B6-8AFA-DC15578A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1190</Words>
  <Characters>6784</Characters>
  <Application>Microsoft Office Word</Application>
  <DocSecurity>0</DocSecurity>
  <Lines>56</Lines>
  <Paragraphs>15</Paragraphs>
  <ScaleCrop>false</ScaleCrop>
  <Company>Microsoft</Company>
  <LinksUpToDate>false</LinksUpToDate>
  <CharactersWithSpaces>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СВ</dc:creator>
  <cp:lastModifiedBy>Юлия Ивановна Булах</cp:lastModifiedBy>
  <cp:revision>2</cp:revision>
  <dcterms:created xsi:type="dcterms:W3CDTF">2025-12-05T07:06:00Z</dcterms:created>
  <dcterms:modified xsi:type="dcterms:W3CDTF">2025-12-05T07:06:00Z</dcterms:modified>
</cp:coreProperties>
</file>